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073B" w:rsidRPr="003F073B" w:rsidRDefault="003F073B" w:rsidP="003F073B">
      <w:pPr>
        <w:jc w:val="center"/>
        <w:rPr>
          <w:sz w:val="22"/>
          <w:szCs w:val="22"/>
        </w:rPr>
      </w:pPr>
      <w:r w:rsidRPr="003F073B">
        <w:rPr>
          <w:sz w:val="22"/>
          <w:szCs w:val="22"/>
        </w:rPr>
        <w:t xml:space="preserve">   </w:t>
      </w:r>
      <w:r>
        <w:rPr>
          <w:noProof/>
          <w:sz w:val="22"/>
          <w:szCs w:val="22"/>
        </w:rPr>
        <w:drawing>
          <wp:inline distT="0" distB="0" distL="0" distR="0">
            <wp:extent cx="781050" cy="8001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923" w:type="dxa"/>
        <w:tblInd w:w="-459" w:type="dxa"/>
        <w:tblLook w:val="04A0" w:firstRow="1" w:lastRow="0" w:firstColumn="1" w:lastColumn="0" w:noHBand="0" w:noVBand="1"/>
      </w:tblPr>
      <w:tblGrid>
        <w:gridCol w:w="2948"/>
        <w:gridCol w:w="3715"/>
        <w:gridCol w:w="3260"/>
      </w:tblGrid>
      <w:tr w:rsidR="003F073B" w:rsidRPr="003F073B" w:rsidTr="001040D4">
        <w:trPr>
          <w:trHeight w:val="1883"/>
        </w:trPr>
        <w:tc>
          <w:tcPr>
            <w:tcW w:w="9923" w:type="dxa"/>
            <w:gridSpan w:val="3"/>
            <w:shd w:val="clear" w:color="auto" w:fill="auto"/>
          </w:tcPr>
          <w:p w:rsidR="003F073B" w:rsidRPr="003F073B" w:rsidRDefault="003F073B" w:rsidP="003F073B">
            <w:pPr>
              <w:ind w:left="284"/>
              <w:jc w:val="center"/>
              <w:rPr>
                <w:color w:val="0062AC"/>
                <w:sz w:val="12"/>
                <w:szCs w:val="12"/>
              </w:rPr>
            </w:pPr>
          </w:p>
          <w:p w:rsidR="003F073B" w:rsidRPr="003F073B" w:rsidRDefault="003F073B" w:rsidP="003F073B">
            <w:pPr>
              <w:ind w:left="284"/>
              <w:jc w:val="center"/>
              <w:rPr>
                <w:color w:val="0062AC"/>
                <w:sz w:val="22"/>
                <w:szCs w:val="22"/>
              </w:rPr>
            </w:pPr>
            <w:r w:rsidRPr="003F073B">
              <w:rPr>
                <w:color w:val="0062AC"/>
                <w:sz w:val="22"/>
                <w:szCs w:val="22"/>
              </w:rPr>
              <w:t>МИНИСТЕРСТВО ФИНАНСОВ РОССИЙСКОЙ ФЕДЕРАЦИИ</w:t>
            </w:r>
          </w:p>
          <w:p w:rsidR="003F073B" w:rsidRPr="003F073B" w:rsidRDefault="003F073B" w:rsidP="003F073B">
            <w:pPr>
              <w:ind w:left="284"/>
              <w:jc w:val="center"/>
              <w:rPr>
                <w:color w:val="0062AC"/>
                <w:sz w:val="18"/>
                <w:szCs w:val="18"/>
              </w:rPr>
            </w:pPr>
          </w:p>
          <w:p w:rsidR="003F073B" w:rsidRPr="003F073B" w:rsidRDefault="003F073B" w:rsidP="003F073B">
            <w:pPr>
              <w:ind w:left="284"/>
              <w:jc w:val="center"/>
              <w:rPr>
                <w:b/>
                <w:color w:val="0062AC"/>
                <w:spacing w:val="24"/>
                <w:sz w:val="32"/>
                <w:szCs w:val="32"/>
              </w:rPr>
            </w:pPr>
            <w:r w:rsidRPr="003F073B">
              <w:rPr>
                <w:b/>
                <w:color w:val="0062AC"/>
                <w:spacing w:val="24"/>
                <w:sz w:val="32"/>
                <w:szCs w:val="32"/>
              </w:rPr>
              <w:t>ФЕДЕРАЛЬНОЕ КАЗНАЧЕЙСТВО</w:t>
            </w:r>
          </w:p>
          <w:p w:rsidR="003F073B" w:rsidRPr="003F073B" w:rsidRDefault="003F073B" w:rsidP="003F073B">
            <w:pPr>
              <w:ind w:left="284"/>
              <w:jc w:val="center"/>
              <w:rPr>
                <w:color w:val="0062AC"/>
                <w:sz w:val="26"/>
                <w:szCs w:val="26"/>
              </w:rPr>
            </w:pPr>
            <w:r w:rsidRPr="003F073B">
              <w:rPr>
                <w:color w:val="0062AC"/>
                <w:sz w:val="26"/>
                <w:szCs w:val="26"/>
              </w:rPr>
              <w:t>(КАЗНАЧЕЙСТВО РОССИИ)</w:t>
            </w:r>
          </w:p>
          <w:p w:rsidR="003F073B" w:rsidRPr="003F073B" w:rsidRDefault="003F073B" w:rsidP="003F073B">
            <w:pPr>
              <w:ind w:left="284"/>
              <w:jc w:val="center"/>
              <w:rPr>
                <w:color w:val="0062AC"/>
              </w:rPr>
            </w:pPr>
          </w:p>
          <w:p w:rsidR="003F073B" w:rsidRPr="003F073B" w:rsidRDefault="003F073B" w:rsidP="003F073B">
            <w:pPr>
              <w:ind w:left="284"/>
              <w:jc w:val="center"/>
              <w:rPr>
                <w:color w:val="0062AC"/>
                <w:sz w:val="26"/>
                <w:szCs w:val="26"/>
              </w:rPr>
            </w:pPr>
            <w:r w:rsidRPr="003F073B">
              <w:rPr>
                <w:b/>
                <w:color w:val="0062AC"/>
                <w:spacing w:val="24"/>
                <w:sz w:val="32"/>
                <w:szCs w:val="32"/>
              </w:rPr>
              <w:t>ПРИКАЗ</w:t>
            </w:r>
          </w:p>
        </w:tc>
      </w:tr>
      <w:tr w:rsidR="003F073B" w:rsidRPr="003F073B" w:rsidTr="001040D4">
        <w:trPr>
          <w:trHeight w:val="506"/>
        </w:trPr>
        <w:tc>
          <w:tcPr>
            <w:tcW w:w="2948" w:type="dxa"/>
            <w:tcBorders>
              <w:bottom w:val="single" w:sz="4" w:space="0" w:color="1F497D"/>
            </w:tcBorders>
            <w:shd w:val="clear" w:color="auto" w:fill="auto"/>
            <w:vAlign w:val="bottom"/>
          </w:tcPr>
          <w:p w:rsidR="003F073B" w:rsidRPr="003F073B" w:rsidRDefault="00D60CBE" w:rsidP="003F073B">
            <w:pPr>
              <w:ind w:right="-66"/>
              <w:jc w:val="center"/>
              <w:rPr>
                <w:color w:val="0062AC"/>
                <w:sz w:val="28"/>
                <w:szCs w:val="28"/>
              </w:rPr>
            </w:pPr>
            <w:r>
              <w:rPr>
                <w:color w:val="0062AC"/>
                <w:sz w:val="28"/>
                <w:szCs w:val="28"/>
              </w:rPr>
              <w:t>31 декабря 2020 г.</w:t>
            </w:r>
          </w:p>
        </w:tc>
        <w:tc>
          <w:tcPr>
            <w:tcW w:w="3715" w:type="dxa"/>
            <w:shd w:val="clear" w:color="auto" w:fill="auto"/>
            <w:vAlign w:val="bottom"/>
          </w:tcPr>
          <w:p w:rsidR="003F073B" w:rsidRPr="003F073B" w:rsidRDefault="003F073B" w:rsidP="003F073B">
            <w:pPr>
              <w:ind w:right="-66"/>
              <w:jc w:val="right"/>
              <w:rPr>
                <w:color w:val="0062AC"/>
              </w:rPr>
            </w:pPr>
            <w:r w:rsidRPr="003F073B">
              <w:rPr>
                <w:color w:val="0062AC"/>
              </w:rPr>
              <w:t>№</w:t>
            </w:r>
          </w:p>
        </w:tc>
        <w:tc>
          <w:tcPr>
            <w:tcW w:w="3260" w:type="dxa"/>
            <w:tcBorders>
              <w:bottom w:val="single" w:sz="4" w:space="0" w:color="1F497D"/>
            </w:tcBorders>
            <w:shd w:val="clear" w:color="auto" w:fill="auto"/>
            <w:vAlign w:val="bottom"/>
          </w:tcPr>
          <w:p w:rsidR="003F073B" w:rsidRPr="003F073B" w:rsidRDefault="00D60CBE" w:rsidP="003F073B">
            <w:pPr>
              <w:spacing w:line="360" w:lineRule="atLeast"/>
              <w:ind w:left="-108" w:right="-284"/>
              <w:jc w:val="center"/>
              <w:rPr>
                <w:color w:val="0062AC"/>
                <w:sz w:val="28"/>
                <w:szCs w:val="28"/>
              </w:rPr>
            </w:pPr>
            <w:r>
              <w:rPr>
                <w:color w:val="0062AC"/>
                <w:sz w:val="28"/>
                <w:szCs w:val="28"/>
              </w:rPr>
              <w:t>418</w:t>
            </w:r>
          </w:p>
        </w:tc>
      </w:tr>
    </w:tbl>
    <w:p w:rsidR="003F073B" w:rsidRPr="003F073B" w:rsidRDefault="003F073B" w:rsidP="003F073B">
      <w:pPr>
        <w:spacing w:line="360" w:lineRule="atLeast"/>
        <w:jc w:val="center"/>
        <w:rPr>
          <w:color w:val="0062AC"/>
          <w:sz w:val="22"/>
          <w:szCs w:val="22"/>
        </w:rPr>
      </w:pPr>
      <w:r w:rsidRPr="003F073B">
        <w:rPr>
          <w:color w:val="0062AC"/>
          <w:sz w:val="22"/>
          <w:szCs w:val="22"/>
        </w:rPr>
        <w:t>Москва</w:t>
      </w:r>
    </w:p>
    <w:p w:rsidR="00FD15C2" w:rsidRDefault="00FD15C2" w:rsidP="003F073B">
      <w:pPr>
        <w:spacing w:line="360" w:lineRule="atLeast"/>
        <w:jc w:val="center"/>
        <w:rPr>
          <w:color w:val="0062AC"/>
          <w:sz w:val="20"/>
          <w:szCs w:val="20"/>
        </w:rPr>
      </w:pPr>
    </w:p>
    <w:p w:rsidR="00E543ED" w:rsidRPr="003F073B" w:rsidRDefault="00E543ED" w:rsidP="003F073B">
      <w:pPr>
        <w:spacing w:line="360" w:lineRule="atLeast"/>
        <w:jc w:val="center"/>
        <w:rPr>
          <w:color w:val="0062AC"/>
          <w:sz w:val="20"/>
          <w:szCs w:val="20"/>
        </w:rPr>
      </w:pPr>
    </w:p>
    <w:p w:rsidR="00C939C2" w:rsidRDefault="00594644" w:rsidP="00E5103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</w:t>
      </w:r>
      <w:r w:rsidR="00305943">
        <w:rPr>
          <w:b/>
          <w:sz w:val="28"/>
          <w:szCs w:val="28"/>
        </w:rPr>
        <w:t xml:space="preserve">в </w:t>
      </w:r>
      <w:r w:rsidR="00C939C2">
        <w:rPr>
          <w:b/>
          <w:sz w:val="28"/>
          <w:szCs w:val="28"/>
        </w:rPr>
        <w:t>приказ</w:t>
      </w:r>
      <w:r w:rsidR="00305943" w:rsidRPr="00305943">
        <w:rPr>
          <w:b/>
          <w:sz w:val="28"/>
          <w:szCs w:val="28"/>
        </w:rPr>
        <w:t xml:space="preserve"> Федерального ка</w:t>
      </w:r>
      <w:r w:rsidR="00305943">
        <w:rPr>
          <w:b/>
          <w:sz w:val="28"/>
          <w:szCs w:val="28"/>
        </w:rPr>
        <w:t xml:space="preserve">значейства </w:t>
      </w:r>
    </w:p>
    <w:p w:rsidR="00602616" w:rsidRDefault="00305943" w:rsidP="00E5103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1 ноября 2019 г. № 335</w:t>
      </w:r>
      <w:r w:rsidR="0042268C">
        <w:rPr>
          <w:b/>
          <w:sz w:val="28"/>
          <w:szCs w:val="28"/>
        </w:rPr>
        <w:t xml:space="preserve"> </w:t>
      </w:r>
      <w:r w:rsidR="00A15EAF" w:rsidRPr="00A15EAF">
        <w:rPr>
          <w:b/>
          <w:sz w:val="28"/>
          <w:szCs w:val="28"/>
        </w:rPr>
        <w:t>«Об осуществлении бюджетных полномочий главного администратора (администратора) доходов федерального бюджета Федеральным казначейством и бюджетных полномочий администратора доходов федерального бюджета территориальными органами Федерального казначейства и Федеральным казенным учреждением «Центр по обеспечению деятельности Казначейства России» по главе 100 «Федеральное казначейство»</w:t>
      </w:r>
    </w:p>
    <w:p w:rsidR="00682E0F" w:rsidRDefault="00682E0F" w:rsidP="00602616">
      <w:pPr>
        <w:spacing w:after="40"/>
        <w:jc w:val="center"/>
        <w:rPr>
          <w:b/>
        </w:rPr>
      </w:pPr>
    </w:p>
    <w:p w:rsidR="00682E0F" w:rsidRPr="00682E0F" w:rsidRDefault="00682E0F" w:rsidP="00602616">
      <w:pPr>
        <w:spacing w:after="40"/>
        <w:jc w:val="center"/>
        <w:rPr>
          <w:b/>
        </w:rPr>
      </w:pPr>
    </w:p>
    <w:p w:rsidR="006B48C4" w:rsidRPr="006B48C4" w:rsidRDefault="00594644" w:rsidP="006B48C4">
      <w:pPr>
        <w:spacing w:line="360" w:lineRule="auto"/>
        <w:ind w:firstLine="709"/>
        <w:rPr>
          <w:sz w:val="28"/>
          <w:szCs w:val="28"/>
        </w:rPr>
      </w:pPr>
      <w:r w:rsidRPr="00E2680B">
        <w:rPr>
          <w:sz w:val="28"/>
          <w:szCs w:val="28"/>
        </w:rPr>
        <w:t>В</w:t>
      </w:r>
      <w:r w:rsidRPr="001D4407">
        <w:rPr>
          <w:sz w:val="28"/>
          <w:szCs w:val="28"/>
        </w:rPr>
        <w:t xml:space="preserve"> </w:t>
      </w:r>
      <w:r>
        <w:rPr>
          <w:sz w:val="28"/>
          <w:szCs w:val="28"/>
        </w:rPr>
        <w:t>связи со служебной необходимостью</w:t>
      </w:r>
      <w:r w:rsidR="0095578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proofErr w:type="gramStart"/>
      <w:r w:rsidRPr="00274F72">
        <w:rPr>
          <w:sz w:val="28"/>
          <w:szCs w:val="28"/>
        </w:rPr>
        <w:t>п</w:t>
      </w:r>
      <w:proofErr w:type="gramEnd"/>
      <w:r w:rsidRPr="00274F72">
        <w:rPr>
          <w:sz w:val="28"/>
          <w:szCs w:val="28"/>
        </w:rPr>
        <w:t xml:space="preserve"> р и к а з ы в а ю:</w:t>
      </w:r>
    </w:p>
    <w:p w:rsidR="00EC0331" w:rsidRDefault="00EC0331" w:rsidP="00305943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proofErr w:type="gramStart"/>
      <w:r w:rsidRPr="00305943">
        <w:rPr>
          <w:sz w:val="28"/>
          <w:szCs w:val="28"/>
        </w:rPr>
        <w:t>Внести в пр</w:t>
      </w:r>
      <w:r w:rsidR="00955789">
        <w:rPr>
          <w:sz w:val="28"/>
          <w:szCs w:val="28"/>
        </w:rPr>
        <w:t>иказ Федерального казначейства</w:t>
      </w:r>
      <w:r w:rsidRPr="00305943">
        <w:rPr>
          <w:sz w:val="28"/>
          <w:szCs w:val="28"/>
        </w:rPr>
        <w:t xml:space="preserve"> от 1 ноября 2019 г.</w:t>
      </w:r>
      <w:r w:rsidR="00305943">
        <w:rPr>
          <w:sz w:val="28"/>
          <w:szCs w:val="28"/>
        </w:rPr>
        <w:t xml:space="preserve"> </w:t>
      </w:r>
      <w:r w:rsidR="00955789">
        <w:rPr>
          <w:sz w:val="28"/>
          <w:szCs w:val="28"/>
        </w:rPr>
        <w:t>№</w:t>
      </w:r>
      <w:r w:rsidR="009E18AD">
        <w:rPr>
          <w:sz w:val="28"/>
          <w:szCs w:val="28"/>
        </w:rPr>
        <w:t> </w:t>
      </w:r>
      <w:r w:rsidRPr="00305943">
        <w:rPr>
          <w:sz w:val="28"/>
          <w:szCs w:val="28"/>
        </w:rPr>
        <w:t xml:space="preserve">335 «Об осуществлении бюджетных полномочий главного администратора (администратора) доходов федерального бюджета Федеральным казначейством и бюджетных полномочий администратора доходов федерального бюджета территориальными органами Федерального казначейства и </w:t>
      </w:r>
      <w:r w:rsidR="0042173F">
        <w:rPr>
          <w:sz w:val="28"/>
          <w:szCs w:val="28"/>
        </w:rPr>
        <w:t>Ф</w:t>
      </w:r>
      <w:r w:rsidRPr="00305943">
        <w:rPr>
          <w:sz w:val="28"/>
          <w:szCs w:val="28"/>
        </w:rPr>
        <w:t xml:space="preserve">едеральным казенным учреждением «Центр по обеспечению деятельности Казначейства России» по главе 100 «Федеральное казначейство» (в редакции </w:t>
      </w:r>
      <w:r w:rsidR="009E18AD" w:rsidRPr="00305943">
        <w:rPr>
          <w:sz w:val="28"/>
          <w:szCs w:val="28"/>
        </w:rPr>
        <w:t>приказ</w:t>
      </w:r>
      <w:r w:rsidR="009E18AD">
        <w:rPr>
          <w:sz w:val="28"/>
          <w:szCs w:val="28"/>
        </w:rPr>
        <w:t>ов</w:t>
      </w:r>
      <w:r w:rsidR="009E18AD" w:rsidRPr="00305943">
        <w:rPr>
          <w:sz w:val="28"/>
          <w:szCs w:val="28"/>
        </w:rPr>
        <w:t xml:space="preserve"> </w:t>
      </w:r>
      <w:r w:rsidRPr="00305943">
        <w:rPr>
          <w:sz w:val="28"/>
          <w:szCs w:val="28"/>
        </w:rPr>
        <w:t>Федерального казначейства от 24 января 2020 г. № 8</w:t>
      </w:r>
      <w:proofErr w:type="gramEnd"/>
      <w:r w:rsidR="007F51BF" w:rsidRPr="00305943">
        <w:rPr>
          <w:sz w:val="28"/>
          <w:szCs w:val="28"/>
        </w:rPr>
        <w:t>, от 29 мая 2020 г. № 170,</w:t>
      </w:r>
      <w:r w:rsidR="009E18AD">
        <w:rPr>
          <w:sz w:val="28"/>
          <w:szCs w:val="28"/>
        </w:rPr>
        <w:br/>
      </w:r>
      <w:r w:rsidR="007F51BF" w:rsidRPr="00305943">
        <w:rPr>
          <w:sz w:val="28"/>
          <w:szCs w:val="28"/>
        </w:rPr>
        <w:t>от 8 сентября 2020 г. № 259</w:t>
      </w:r>
      <w:r w:rsidR="00172B96" w:rsidRPr="00305943">
        <w:rPr>
          <w:sz w:val="28"/>
          <w:szCs w:val="28"/>
        </w:rPr>
        <w:t>, от 14 сентября 2020 г. № 263</w:t>
      </w:r>
      <w:r w:rsidRPr="00305943">
        <w:rPr>
          <w:sz w:val="28"/>
          <w:szCs w:val="28"/>
        </w:rPr>
        <w:t>)</w:t>
      </w:r>
      <w:r w:rsidR="00172B96" w:rsidRPr="00305943">
        <w:rPr>
          <w:sz w:val="28"/>
          <w:szCs w:val="28"/>
        </w:rPr>
        <w:t xml:space="preserve"> (далее – Приказ)</w:t>
      </w:r>
      <w:r w:rsidRPr="00305943">
        <w:rPr>
          <w:sz w:val="28"/>
          <w:szCs w:val="28"/>
        </w:rPr>
        <w:t xml:space="preserve"> </w:t>
      </w:r>
      <w:r w:rsidR="00172B96" w:rsidRPr="00305943">
        <w:rPr>
          <w:sz w:val="28"/>
          <w:szCs w:val="28"/>
        </w:rPr>
        <w:t>следующие изменения</w:t>
      </w:r>
      <w:r w:rsidRPr="00305943">
        <w:rPr>
          <w:sz w:val="28"/>
          <w:szCs w:val="28"/>
        </w:rPr>
        <w:t>:</w:t>
      </w:r>
    </w:p>
    <w:p w:rsidR="00A15EAF" w:rsidRDefault="00A15EAF" w:rsidP="005859FB">
      <w:pPr>
        <w:pStyle w:val="a6"/>
        <w:numPr>
          <w:ilvl w:val="0"/>
          <w:numId w:val="5"/>
        </w:num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 пункте 4 Приказа:</w:t>
      </w:r>
    </w:p>
    <w:p w:rsidR="00EE5A02" w:rsidRPr="00A15EAF" w:rsidRDefault="00A15EAF" w:rsidP="00A15EAF">
      <w:pPr>
        <w:autoSpaceDE w:val="0"/>
        <w:autoSpaceDN w:val="0"/>
        <w:adjustRightInd w:val="0"/>
        <w:spacing w:line="360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="00EE5A02" w:rsidRPr="00A15EAF">
        <w:rPr>
          <w:sz w:val="28"/>
          <w:szCs w:val="28"/>
        </w:rPr>
        <w:t xml:space="preserve">бзац второй изложить в следующей редакции: </w:t>
      </w:r>
    </w:p>
    <w:p w:rsidR="00EE5A02" w:rsidRPr="00EE5A02" w:rsidRDefault="00EE5A02" w:rsidP="00EE5A02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«</w:t>
      </w:r>
      <w:r w:rsidRPr="00EE5A02">
        <w:rPr>
          <w:sz w:val="28"/>
          <w:szCs w:val="28"/>
        </w:rPr>
        <w:t xml:space="preserve">за территориальными органами </w:t>
      </w:r>
      <w:r w:rsidR="0042173F">
        <w:rPr>
          <w:sz w:val="28"/>
          <w:szCs w:val="28"/>
        </w:rPr>
        <w:t>Федерального казначейства и Ф</w:t>
      </w:r>
      <w:r w:rsidRPr="00EE5A02">
        <w:rPr>
          <w:sz w:val="28"/>
          <w:szCs w:val="28"/>
        </w:rPr>
        <w:t>е</w:t>
      </w:r>
      <w:r>
        <w:rPr>
          <w:sz w:val="28"/>
          <w:szCs w:val="28"/>
        </w:rPr>
        <w:t>деральным казенным учреждением «</w:t>
      </w:r>
      <w:r w:rsidRPr="00EE5A02">
        <w:rPr>
          <w:sz w:val="28"/>
          <w:szCs w:val="28"/>
        </w:rPr>
        <w:t>Центр по обеспечению д</w:t>
      </w:r>
      <w:r>
        <w:rPr>
          <w:sz w:val="28"/>
          <w:szCs w:val="28"/>
        </w:rPr>
        <w:t>еятельности Казначейства России»</w:t>
      </w:r>
      <w:r w:rsidRPr="00EE5A02">
        <w:rPr>
          <w:sz w:val="28"/>
          <w:szCs w:val="28"/>
        </w:rPr>
        <w:t xml:space="preserve"> и его обособленными подразделениями согласно </w:t>
      </w:r>
      <w:hyperlink r:id="rId10" w:history="1">
        <w:r>
          <w:rPr>
            <w:rStyle w:val="a7"/>
            <w:color w:val="auto"/>
            <w:sz w:val="28"/>
            <w:szCs w:val="28"/>
            <w:u w:val="none"/>
          </w:rPr>
          <w:t>приложениям</w:t>
        </w:r>
        <w:r w:rsidRPr="00EE5A02">
          <w:rPr>
            <w:rStyle w:val="a7"/>
            <w:color w:val="auto"/>
            <w:sz w:val="28"/>
            <w:szCs w:val="28"/>
            <w:u w:val="none"/>
          </w:rPr>
          <w:t xml:space="preserve"> </w:t>
        </w:r>
      </w:hyperlink>
      <w:hyperlink r:id="rId11" w:history="1">
        <w:r>
          <w:rPr>
            <w:rStyle w:val="a7"/>
            <w:color w:val="auto"/>
            <w:sz w:val="28"/>
            <w:szCs w:val="28"/>
            <w:u w:val="none"/>
          </w:rPr>
          <w:t>№</w:t>
        </w:r>
        <w:r w:rsidRPr="00EE5A02">
          <w:rPr>
            <w:rStyle w:val="a7"/>
            <w:color w:val="auto"/>
            <w:sz w:val="28"/>
            <w:szCs w:val="28"/>
            <w:u w:val="none"/>
          </w:rPr>
          <w:t xml:space="preserve"> 3</w:t>
        </w:r>
      </w:hyperlink>
      <w:r>
        <w:rPr>
          <w:sz w:val="28"/>
          <w:szCs w:val="28"/>
        </w:rPr>
        <w:t xml:space="preserve"> и № 7</w:t>
      </w:r>
      <w:r w:rsidRPr="00EE5A02">
        <w:rPr>
          <w:sz w:val="28"/>
          <w:szCs w:val="28"/>
        </w:rPr>
        <w:t xml:space="preserve"> </w:t>
      </w:r>
      <w:r w:rsidR="00A15EAF">
        <w:rPr>
          <w:sz w:val="28"/>
          <w:szCs w:val="28"/>
        </w:rPr>
        <w:t>к настоящему приказу</w:t>
      </w:r>
      <w:proofErr w:type="gramStart"/>
      <w:r w:rsidR="00A15EAF">
        <w:rPr>
          <w:sz w:val="28"/>
          <w:szCs w:val="28"/>
        </w:rPr>
        <w:t>;»</w:t>
      </w:r>
      <w:proofErr w:type="gramEnd"/>
      <w:r w:rsidR="00A15EAF">
        <w:rPr>
          <w:sz w:val="28"/>
          <w:szCs w:val="28"/>
        </w:rPr>
        <w:t>;</w:t>
      </w:r>
    </w:p>
    <w:p w:rsidR="00EE5A02" w:rsidRPr="00A15EAF" w:rsidRDefault="00A15EAF" w:rsidP="00A15EAF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="00EE5A02" w:rsidRPr="00A15EAF">
        <w:rPr>
          <w:sz w:val="28"/>
          <w:szCs w:val="28"/>
        </w:rPr>
        <w:t xml:space="preserve">бзац третий изложить в следующей редакции: </w:t>
      </w:r>
    </w:p>
    <w:p w:rsidR="00EE5A02" w:rsidRPr="00EE5A02" w:rsidRDefault="00EE5A02" w:rsidP="00EE5A02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EE5A02">
        <w:rPr>
          <w:sz w:val="28"/>
          <w:szCs w:val="28"/>
        </w:rPr>
        <w:t xml:space="preserve">за центральным аппаратом Федерального казначейства согласно </w:t>
      </w:r>
      <w:hyperlink r:id="rId12" w:history="1">
        <w:proofErr w:type="gramStart"/>
        <w:r w:rsidRPr="00EE5A02">
          <w:rPr>
            <w:rStyle w:val="a7"/>
            <w:color w:val="auto"/>
            <w:sz w:val="28"/>
            <w:szCs w:val="28"/>
            <w:u w:val="none"/>
          </w:rPr>
          <w:t>приложени</w:t>
        </w:r>
      </w:hyperlink>
      <w:r>
        <w:rPr>
          <w:sz w:val="28"/>
          <w:szCs w:val="28"/>
        </w:rPr>
        <w:t>ям</w:t>
      </w:r>
      <w:proofErr w:type="gramEnd"/>
      <w:r w:rsidR="0006283C">
        <w:rPr>
          <w:sz w:val="28"/>
          <w:szCs w:val="28"/>
        </w:rPr>
        <w:t xml:space="preserve"> </w:t>
      </w:r>
      <w:hyperlink r:id="rId13" w:history="1">
        <w:r>
          <w:rPr>
            <w:rStyle w:val="a7"/>
            <w:color w:val="auto"/>
            <w:sz w:val="28"/>
            <w:szCs w:val="28"/>
            <w:u w:val="none"/>
          </w:rPr>
          <w:t>№</w:t>
        </w:r>
        <w:r w:rsidRPr="00EE5A02">
          <w:rPr>
            <w:rStyle w:val="a7"/>
            <w:color w:val="auto"/>
            <w:sz w:val="28"/>
            <w:szCs w:val="28"/>
            <w:u w:val="none"/>
          </w:rPr>
          <w:t xml:space="preserve"> 5</w:t>
        </w:r>
      </w:hyperlink>
      <w:r>
        <w:rPr>
          <w:sz w:val="28"/>
          <w:szCs w:val="28"/>
        </w:rPr>
        <w:t xml:space="preserve"> и № 8</w:t>
      </w:r>
      <w:r w:rsidRPr="00EE5A02">
        <w:rPr>
          <w:sz w:val="28"/>
          <w:szCs w:val="28"/>
        </w:rPr>
        <w:t xml:space="preserve"> к настоящему приказу.</w:t>
      </w:r>
      <w:r w:rsidR="00A15EAF">
        <w:rPr>
          <w:sz w:val="28"/>
          <w:szCs w:val="28"/>
        </w:rPr>
        <w:t>»;</w:t>
      </w:r>
    </w:p>
    <w:p w:rsidR="00EE5A02" w:rsidRPr="00A15EAF" w:rsidRDefault="00A15EAF" w:rsidP="00A15EAF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A15EAF">
        <w:rPr>
          <w:sz w:val="28"/>
          <w:szCs w:val="28"/>
        </w:rPr>
        <w:t>а</w:t>
      </w:r>
      <w:r w:rsidR="00EE5A02" w:rsidRPr="00A15EAF">
        <w:rPr>
          <w:sz w:val="28"/>
          <w:szCs w:val="28"/>
        </w:rPr>
        <w:t xml:space="preserve">бзац четвертый </w:t>
      </w:r>
      <w:r>
        <w:rPr>
          <w:sz w:val="28"/>
          <w:szCs w:val="28"/>
        </w:rPr>
        <w:t>признать утратившим силу;</w:t>
      </w:r>
    </w:p>
    <w:p w:rsidR="005859FB" w:rsidRDefault="00A15EAF" w:rsidP="00A15EAF">
      <w:pPr>
        <w:pStyle w:val="a6"/>
        <w:autoSpaceDE w:val="0"/>
        <w:autoSpaceDN w:val="0"/>
        <w:adjustRightInd w:val="0"/>
        <w:spacing w:line="360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дополнить </w:t>
      </w:r>
      <w:r w:rsidR="00EE5A02">
        <w:rPr>
          <w:sz w:val="28"/>
          <w:szCs w:val="28"/>
        </w:rPr>
        <w:t>а</w:t>
      </w:r>
      <w:r w:rsidR="005859FB">
        <w:rPr>
          <w:sz w:val="28"/>
          <w:szCs w:val="28"/>
        </w:rPr>
        <w:t>бзац</w:t>
      </w:r>
      <w:r w:rsidR="00EE5A02">
        <w:rPr>
          <w:sz w:val="28"/>
          <w:szCs w:val="28"/>
        </w:rPr>
        <w:t>ем</w:t>
      </w:r>
      <w:r w:rsidR="005859FB">
        <w:rPr>
          <w:sz w:val="28"/>
          <w:szCs w:val="28"/>
        </w:rPr>
        <w:t xml:space="preserve"> </w:t>
      </w:r>
      <w:r w:rsidR="00EE5A02">
        <w:rPr>
          <w:sz w:val="28"/>
          <w:szCs w:val="28"/>
        </w:rPr>
        <w:t>следующего содержания</w:t>
      </w:r>
      <w:r w:rsidR="005859FB">
        <w:rPr>
          <w:sz w:val="28"/>
          <w:szCs w:val="28"/>
        </w:rPr>
        <w:t>:</w:t>
      </w:r>
    </w:p>
    <w:p w:rsidR="005859FB" w:rsidRPr="005859FB" w:rsidRDefault="005859FB" w:rsidP="005859FB">
      <w:pPr>
        <w:autoSpaceDE w:val="0"/>
        <w:autoSpaceDN w:val="0"/>
        <w:adjustRightInd w:val="0"/>
        <w:spacing w:line="360" w:lineRule="auto"/>
        <w:ind w:firstLine="539"/>
        <w:jc w:val="both"/>
        <w:rPr>
          <w:rFonts w:eastAsiaTheme="minorHAnsi"/>
          <w:b/>
          <w:bCs/>
          <w:sz w:val="28"/>
          <w:szCs w:val="28"/>
          <w:lang w:eastAsia="en-US"/>
        </w:rPr>
      </w:pPr>
      <w:r>
        <w:rPr>
          <w:sz w:val="28"/>
          <w:szCs w:val="28"/>
        </w:rPr>
        <w:t>«</w:t>
      </w:r>
      <w:r w:rsidRPr="005859FB">
        <w:rPr>
          <w:rFonts w:eastAsiaTheme="minorHAnsi"/>
          <w:bCs/>
          <w:sz w:val="28"/>
          <w:szCs w:val="28"/>
          <w:lang w:eastAsia="en-US"/>
        </w:rPr>
        <w:t xml:space="preserve">Коды доходов бюджетной классификации Российской Федерации, указанные в </w:t>
      </w:r>
      <w:hyperlink r:id="rId14" w:history="1">
        <w:r>
          <w:rPr>
            <w:rFonts w:eastAsiaTheme="minorHAnsi"/>
            <w:bCs/>
            <w:sz w:val="28"/>
            <w:szCs w:val="28"/>
            <w:lang w:eastAsia="en-US"/>
          </w:rPr>
          <w:t>приложениях №</w:t>
        </w:r>
        <w:r w:rsidRPr="005859FB">
          <w:rPr>
            <w:rFonts w:eastAsiaTheme="minorHAnsi"/>
            <w:bCs/>
            <w:sz w:val="28"/>
            <w:szCs w:val="28"/>
            <w:lang w:eastAsia="en-US"/>
          </w:rPr>
          <w:t xml:space="preserve"> </w:t>
        </w:r>
      </w:hyperlink>
      <w:r w:rsidR="00EE5A02">
        <w:rPr>
          <w:rFonts w:eastAsiaTheme="minorHAnsi"/>
          <w:bCs/>
          <w:sz w:val="28"/>
          <w:szCs w:val="28"/>
          <w:lang w:eastAsia="en-US"/>
        </w:rPr>
        <w:t>7</w:t>
      </w:r>
      <w:r w:rsidRPr="005859FB">
        <w:rPr>
          <w:rFonts w:eastAsiaTheme="minorHAnsi"/>
          <w:bCs/>
          <w:sz w:val="28"/>
          <w:szCs w:val="28"/>
          <w:lang w:eastAsia="en-US"/>
        </w:rPr>
        <w:t xml:space="preserve"> и </w:t>
      </w:r>
      <w:hyperlink r:id="rId15" w:history="1">
        <w:r>
          <w:rPr>
            <w:rFonts w:eastAsiaTheme="minorHAnsi"/>
            <w:bCs/>
            <w:sz w:val="28"/>
            <w:szCs w:val="28"/>
            <w:lang w:eastAsia="en-US"/>
          </w:rPr>
          <w:t>№</w:t>
        </w:r>
        <w:r w:rsidRPr="005859FB">
          <w:rPr>
            <w:rFonts w:eastAsiaTheme="minorHAnsi"/>
            <w:bCs/>
            <w:sz w:val="28"/>
            <w:szCs w:val="28"/>
            <w:lang w:eastAsia="en-US"/>
          </w:rPr>
          <w:t xml:space="preserve"> </w:t>
        </w:r>
      </w:hyperlink>
      <w:r w:rsidR="00EE5A02">
        <w:rPr>
          <w:rFonts w:eastAsiaTheme="minorHAnsi"/>
          <w:bCs/>
          <w:sz w:val="28"/>
          <w:szCs w:val="28"/>
          <w:lang w:eastAsia="en-US"/>
        </w:rPr>
        <w:t>8</w:t>
      </w:r>
      <w:r w:rsidRPr="005859FB">
        <w:rPr>
          <w:rFonts w:eastAsiaTheme="minorHAnsi"/>
          <w:bCs/>
          <w:sz w:val="28"/>
          <w:szCs w:val="28"/>
          <w:lang w:eastAsia="en-US"/>
        </w:rPr>
        <w:t xml:space="preserve"> к настоящему приказу, применяются к правоотношениям, возникающим при составлении и исполнении федерального бюджета </w:t>
      </w:r>
      <w:r w:rsidR="007A5CB3">
        <w:rPr>
          <w:rFonts w:eastAsiaTheme="minorHAnsi"/>
          <w:bCs/>
          <w:sz w:val="28"/>
          <w:szCs w:val="28"/>
          <w:lang w:eastAsia="en-US"/>
        </w:rPr>
        <w:t>на</w:t>
      </w:r>
      <w:r w:rsidRPr="005859FB">
        <w:rPr>
          <w:rFonts w:eastAsiaTheme="minorHAnsi"/>
          <w:bCs/>
          <w:sz w:val="28"/>
          <w:szCs w:val="28"/>
          <w:lang w:eastAsia="en-US"/>
        </w:rPr>
        <w:t xml:space="preserve"> 2021 </w:t>
      </w:r>
      <w:r w:rsidR="00955789">
        <w:rPr>
          <w:rFonts w:eastAsiaTheme="minorHAnsi"/>
          <w:bCs/>
          <w:sz w:val="28"/>
          <w:szCs w:val="28"/>
          <w:lang w:eastAsia="en-US"/>
        </w:rPr>
        <w:t>год и планов</w:t>
      </w:r>
      <w:r w:rsidR="007A5CB3">
        <w:rPr>
          <w:rFonts w:eastAsiaTheme="minorHAnsi"/>
          <w:bCs/>
          <w:sz w:val="28"/>
          <w:szCs w:val="28"/>
          <w:lang w:eastAsia="en-US"/>
        </w:rPr>
        <w:t>ый</w:t>
      </w:r>
      <w:r w:rsidR="00955789">
        <w:rPr>
          <w:rFonts w:eastAsiaTheme="minorHAnsi"/>
          <w:bCs/>
          <w:sz w:val="28"/>
          <w:szCs w:val="28"/>
          <w:lang w:eastAsia="en-US"/>
        </w:rPr>
        <w:t xml:space="preserve"> период 2022 и 2023 годов</w:t>
      </w:r>
      <w:proofErr w:type="gramStart"/>
      <w:r w:rsidRPr="005859FB">
        <w:rPr>
          <w:rFonts w:eastAsiaTheme="minorHAnsi"/>
          <w:bCs/>
          <w:sz w:val="28"/>
          <w:szCs w:val="28"/>
          <w:lang w:eastAsia="en-US"/>
        </w:rPr>
        <w:t>.</w:t>
      </w:r>
      <w:r>
        <w:rPr>
          <w:rFonts w:eastAsiaTheme="minorHAnsi"/>
          <w:b/>
          <w:bCs/>
          <w:sz w:val="28"/>
          <w:szCs w:val="28"/>
          <w:lang w:eastAsia="en-US"/>
        </w:rPr>
        <w:t>»</w:t>
      </w:r>
      <w:r w:rsidR="006A121D" w:rsidRPr="006A121D">
        <w:rPr>
          <w:rFonts w:eastAsiaTheme="minorHAnsi"/>
          <w:bCs/>
          <w:sz w:val="28"/>
          <w:szCs w:val="28"/>
          <w:lang w:eastAsia="en-US"/>
        </w:rPr>
        <w:t>.</w:t>
      </w:r>
      <w:proofErr w:type="gramEnd"/>
    </w:p>
    <w:p w:rsidR="00760ADE" w:rsidRPr="00E51034" w:rsidRDefault="00E51034" w:rsidP="00E51034">
      <w:pPr>
        <w:numPr>
          <w:ilvl w:val="0"/>
          <w:numId w:val="5"/>
        </w:numPr>
        <w:autoSpaceDE w:val="0"/>
        <w:autoSpaceDN w:val="0"/>
        <w:adjustRightInd w:val="0"/>
        <w:spacing w:line="360" w:lineRule="auto"/>
        <w:ind w:left="0" w:firstLine="709"/>
        <w:contextualSpacing/>
        <w:jc w:val="both"/>
        <w:rPr>
          <w:rFonts w:eastAsia="Calibri" w:cstheme="minorBidi"/>
          <w:kern w:val="24"/>
          <w:sz w:val="28"/>
          <w:szCs w:val="28"/>
          <w:lang w:eastAsia="en-US"/>
        </w:rPr>
      </w:pPr>
      <w:r>
        <w:rPr>
          <w:sz w:val="28"/>
          <w:szCs w:val="28"/>
        </w:rPr>
        <w:t xml:space="preserve">В приложении № 1 к Приказу </w:t>
      </w:r>
      <w:r w:rsidR="008420A0" w:rsidRPr="00E51034">
        <w:rPr>
          <w:sz w:val="28"/>
          <w:szCs w:val="28"/>
        </w:rPr>
        <w:t>в</w:t>
      </w:r>
      <w:r w:rsidR="00760ADE" w:rsidRPr="00E51034">
        <w:rPr>
          <w:sz w:val="28"/>
          <w:szCs w:val="28"/>
        </w:rPr>
        <w:t xml:space="preserve"> таблице </w:t>
      </w:r>
      <w:r w:rsidR="00CA6098" w:rsidRPr="00E51034">
        <w:rPr>
          <w:sz w:val="28"/>
          <w:szCs w:val="28"/>
        </w:rPr>
        <w:t>в разделе «</w:t>
      </w:r>
      <w:r w:rsidR="00CA6098" w:rsidRPr="00E51034">
        <w:rPr>
          <w:rFonts w:eastAsia="Calibri"/>
          <w:sz w:val="28"/>
          <w:szCs w:val="28"/>
        </w:rPr>
        <w:t xml:space="preserve">Федеральное казенное учреждение </w:t>
      </w:r>
      <w:r w:rsidR="001D3046" w:rsidRPr="00E51034">
        <w:rPr>
          <w:rFonts w:eastAsia="Calibri"/>
          <w:sz w:val="28"/>
          <w:szCs w:val="28"/>
        </w:rPr>
        <w:t>«</w:t>
      </w:r>
      <w:r w:rsidR="00CA6098" w:rsidRPr="00E51034">
        <w:rPr>
          <w:rFonts w:eastAsia="Calibri"/>
          <w:sz w:val="28"/>
          <w:szCs w:val="28"/>
        </w:rPr>
        <w:t>Центр по обеспечению д</w:t>
      </w:r>
      <w:r w:rsidR="001D3046" w:rsidRPr="00E51034">
        <w:rPr>
          <w:rFonts w:eastAsia="Calibri"/>
          <w:sz w:val="28"/>
          <w:szCs w:val="28"/>
        </w:rPr>
        <w:t>еятельности Казначейства России»</w:t>
      </w:r>
      <w:r w:rsidR="00CA6098" w:rsidRPr="00E51034">
        <w:rPr>
          <w:rFonts w:eastAsia="Calibri"/>
          <w:sz w:val="28"/>
          <w:szCs w:val="28"/>
        </w:rPr>
        <w:t xml:space="preserve"> и его обособленные подразделения</w:t>
      </w:r>
      <w:r w:rsidR="00760ADE" w:rsidRPr="00E51034">
        <w:rPr>
          <w:rFonts w:eastAsia="Calibri"/>
          <w:sz w:val="28"/>
          <w:szCs w:val="28"/>
        </w:rPr>
        <w:t>»</w:t>
      </w:r>
      <w:r w:rsidR="00760ADE" w:rsidRPr="00E51034">
        <w:rPr>
          <w:rFonts w:eastAsia="Calibri" w:cstheme="minorBidi"/>
          <w:kern w:val="24"/>
          <w:sz w:val="28"/>
          <w:szCs w:val="28"/>
          <w:lang w:eastAsia="en-US"/>
        </w:rPr>
        <w:t xml:space="preserve"> строку</w:t>
      </w:r>
      <w:r w:rsidR="00CA6098" w:rsidRPr="00E51034">
        <w:rPr>
          <w:rFonts w:eastAsia="Calibri" w:cstheme="minorBidi"/>
          <w:kern w:val="24"/>
          <w:sz w:val="28"/>
          <w:szCs w:val="28"/>
          <w:lang w:eastAsia="en-US"/>
        </w:rPr>
        <w:t xml:space="preserve"> 7</w:t>
      </w:r>
      <w:r w:rsidR="00760ADE" w:rsidRPr="00E51034">
        <w:rPr>
          <w:rFonts w:eastAsia="Calibri" w:cstheme="minorBidi"/>
          <w:kern w:val="24"/>
          <w:sz w:val="28"/>
          <w:szCs w:val="28"/>
          <w:lang w:eastAsia="en-US"/>
        </w:rPr>
        <w:t xml:space="preserve"> изложить в следующей редакции:</w:t>
      </w:r>
    </w:p>
    <w:p w:rsidR="00760ADE" w:rsidRPr="00173B3A" w:rsidRDefault="00760ADE" w:rsidP="00305943">
      <w:pPr>
        <w:autoSpaceDE w:val="0"/>
        <w:autoSpaceDN w:val="0"/>
        <w:adjustRightInd w:val="0"/>
        <w:spacing w:line="360" w:lineRule="auto"/>
        <w:jc w:val="both"/>
        <w:rPr>
          <w:rFonts w:eastAsiaTheme="minorHAnsi" w:cstheme="minorBidi"/>
          <w:kern w:val="24"/>
          <w:sz w:val="28"/>
          <w:szCs w:val="28"/>
          <w:lang w:eastAsia="en-US"/>
        </w:rPr>
      </w:pPr>
      <w:r w:rsidRPr="00173B3A">
        <w:rPr>
          <w:rFonts w:eastAsiaTheme="minorHAnsi" w:cstheme="minorBidi"/>
          <w:kern w:val="24"/>
          <w:sz w:val="28"/>
          <w:szCs w:val="28"/>
          <w:lang w:eastAsia="en-US"/>
        </w:rPr>
        <w:t>«</w:t>
      </w:r>
    </w:p>
    <w:tbl>
      <w:tblPr>
        <w:tblStyle w:val="ac"/>
        <w:tblW w:w="9106" w:type="dxa"/>
        <w:tblInd w:w="108" w:type="dxa"/>
        <w:tblLook w:val="04A0" w:firstRow="1" w:lastRow="0" w:firstColumn="1" w:lastColumn="0" w:noHBand="0" w:noVBand="1"/>
      </w:tblPr>
      <w:tblGrid>
        <w:gridCol w:w="709"/>
        <w:gridCol w:w="8397"/>
      </w:tblGrid>
      <w:tr w:rsidR="00760ADE" w:rsidRPr="00173B3A" w:rsidTr="00955789">
        <w:tc>
          <w:tcPr>
            <w:tcW w:w="709" w:type="dxa"/>
            <w:vAlign w:val="center"/>
          </w:tcPr>
          <w:p w:rsidR="00760ADE" w:rsidRPr="00CA6098" w:rsidRDefault="0041667F" w:rsidP="0041667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 w:cstheme="minorBidi"/>
                <w:kern w:val="24"/>
                <w:sz w:val="28"/>
                <w:szCs w:val="28"/>
                <w:lang w:eastAsia="en-US"/>
              </w:rPr>
            </w:pPr>
            <w:r>
              <w:rPr>
                <w:rFonts w:eastAsiaTheme="minorHAnsi" w:cstheme="minorBidi"/>
                <w:kern w:val="24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8397" w:type="dxa"/>
          </w:tcPr>
          <w:p w:rsidR="00760ADE" w:rsidRPr="00173B3A" w:rsidRDefault="00CA6098" w:rsidP="00955789">
            <w:pPr>
              <w:autoSpaceDE w:val="0"/>
              <w:autoSpaceDN w:val="0"/>
              <w:adjustRightInd w:val="0"/>
              <w:rPr>
                <w:rFonts w:eastAsiaTheme="minorHAnsi" w:cstheme="minorBidi"/>
                <w:kern w:val="24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Межрегиональный филиал Федерального казенного учреждения «Центр по обеспечению деятельности Казначейства России» в               г. Владивостоке</w:t>
            </w:r>
          </w:p>
        </w:tc>
      </w:tr>
    </w:tbl>
    <w:p w:rsidR="00760ADE" w:rsidRPr="00173B3A" w:rsidRDefault="00760ADE" w:rsidP="00305943">
      <w:pPr>
        <w:ind w:firstLine="709"/>
        <w:contextualSpacing/>
        <w:jc w:val="both"/>
        <w:rPr>
          <w:rFonts w:eastAsia="Calibri" w:cstheme="minorBidi"/>
          <w:kern w:val="24"/>
          <w:sz w:val="16"/>
          <w:szCs w:val="16"/>
          <w:lang w:eastAsia="en-US"/>
        </w:rPr>
      </w:pPr>
    </w:p>
    <w:p w:rsidR="00760ADE" w:rsidRDefault="00760ADE" w:rsidP="00305943">
      <w:pPr>
        <w:spacing w:line="360" w:lineRule="auto"/>
        <w:ind w:firstLine="709"/>
        <w:contextualSpacing/>
        <w:jc w:val="both"/>
        <w:rPr>
          <w:sz w:val="28"/>
          <w:szCs w:val="28"/>
          <w:lang w:eastAsia="en-US"/>
        </w:rPr>
      </w:pPr>
      <w:r w:rsidRPr="00173B3A">
        <w:rPr>
          <w:rFonts w:eastAsia="Calibri" w:cstheme="minorBidi"/>
          <w:kern w:val="24"/>
          <w:sz w:val="28"/>
          <w:szCs w:val="28"/>
          <w:lang w:eastAsia="en-US"/>
        </w:rPr>
        <w:tab/>
      </w:r>
      <w:r w:rsidRPr="00173B3A">
        <w:rPr>
          <w:rFonts w:eastAsia="Calibri" w:cstheme="minorBidi"/>
          <w:kern w:val="24"/>
          <w:sz w:val="28"/>
          <w:szCs w:val="28"/>
          <w:lang w:eastAsia="en-US"/>
        </w:rPr>
        <w:tab/>
      </w:r>
      <w:r w:rsidRPr="00173B3A">
        <w:rPr>
          <w:rFonts w:eastAsia="Calibri" w:cstheme="minorBidi"/>
          <w:kern w:val="24"/>
          <w:sz w:val="28"/>
          <w:szCs w:val="28"/>
          <w:lang w:eastAsia="en-US"/>
        </w:rPr>
        <w:tab/>
      </w:r>
      <w:r w:rsidRPr="00173B3A">
        <w:rPr>
          <w:rFonts w:eastAsia="Calibri" w:cstheme="minorBidi"/>
          <w:kern w:val="24"/>
          <w:sz w:val="28"/>
          <w:szCs w:val="28"/>
          <w:lang w:eastAsia="en-US"/>
        </w:rPr>
        <w:tab/>
      </w:r>
      <w:r w:rsidRPr="00173B3A">
        <w:rPr>
          <w:rFonts w:eastAsia="Calibri" w:cstheme="minorBidi"/>
          <w:kern w:val="24"/>
          <w:sz w:val="28"/>
          <w:szCs w:val="28"/>
          <w:lang w:eastAsia="en-US"/>
        </w:rPr>
        <w:tab/>
      </w:r>
      <w:r w:rsidRPr="00173B3A">
        <w:rPr>
          <w:rFonts w:eastAsia="Calibri" w:cstheme="minorBidi"/>
          <w:kern w:val="24"/>
          <w:sz w:val="28"/>
          <w:szCs w:val="28"/>
          <w:lang w:eastAsia="en-US"/>
        </w:rPr>
        <w:tab/>
      </w:r>
      <w:r w:rsidRPr="00173B3A">
        <w:rPr>
          <w:rFonts w:eastAsia="Calibri" w:cstheme="minorBidi"/>
          <w:kern w:val="24"/>
          <w:sz w:val="28"/>
          <w:szCs w:val="28"/>
          <w:lang w:eastAsia="en-US"/>
        </w:rPr>
        <w:tab/>
      </w:r>
      <w:r w:rsidRPr="00173B3A">
        <w:rPr>
          <w:rFonts w:eastAsia="Calibri" w:cstheme="minorBidi"/>
          <w:kern w:val="24"/>
          <w:sz w:val="28"/>
          <w:szCs w:val="28"/>
          <w:lang w:eastAsia="en-US"/>
        </w:rPr>
        <w:tab/>
      </w:r>
      <w:r w:rsidRPr="00173B3A">
        <w:rPr>
          <w:rFonts w:eastAsia="Calibri" w:cstheme="minorBidi"/>
          <w:kern w:val="24"/>
          <w:sz w:val="28"/>
          <w:szCs w:val="28"/>
          <w:lang w:eastAsia="en-US"/>
        </w:rPr>
        <w:tab/>
      </w:r>
      <w:r w:rsidRPr="00173B3A">
        <w:rPr>
          <w:rFonts w:eastAsia="Calibri" w:cstheme="minorBidi"/>
          <w:kern w:val="24"/>
          <w:sz w:val="28"/>
          <w:szCs w:val="28"/>
          <w:lang w:eastAsia="en-US"/>
        </w:rPr>
        <w:tab/>
      </w:r>
      <w:r w:rsidRPr="00173B3A">
        <w:rPr>
          <w:rFonts w:eastAsia="Calibri" w:cstheme="minorBidi"/>
          <w:kern w:val="24"/>
          <w:sz w:val="28"/>
          <w:szCs w:val="28"/>
          <w:lang w:eastAsia="en-US"/>
        </w:rPr>
        <w:tab/>
      </w:r>
      <w:r>
        <w:rPr>
          <w:rFonts w:eastAsia="Calibri" w:cstheme="minorBidi"/>
          <w:kern w:val="24"/>
          <w:sz w:val="28"/>
          <w:szCs w:val="28"/>
          <w:lang w:eastAsia="en-US"/>
        </w:rPr>
        <w:t xml:space="preserve">     </w:t>
      </w:r>
      <w:r w:rsidRPr="00173B3A">
        <w:rPr>
          <w:sz w:val="28"/>
          <w:szCs w:val="28"/>
          <w:lang w:eastAsia="en-US"/>
        </w:rPr>
        <w:t>».</w:t>
      </w:r>
    </w:p>
    <w:p w:rsidR="00A15EAF" w:rsidRPr="00A15EAF" w:rsidRDefault="00A15EAF" w:rsidP="00E51034">
      <w:pPr>
        <w:pStyle w:val="a6"/>
        <w:numPr>
          <w:ilvl w:val="0"/>
          <w:numId w:val="5"/>
        </w:numPr>
        <w:spacing w:line="360" w:lineRule="auto"/>
        <w:rPr>
          <w:rFonts w:eastAsia="Calibri" w:cstheme="minorBidi"/>
          <w:kern w:val="24"/>
          <w:sz w:val="28"/>
          <w:szCs w:val="28"/>
          <w:lang w:eastAsia="en-US"/>
        </w:rPr>
      </w:pPr>
      <w:r w:rsidRPr="00A15EAF">
        <w:rPr>
          <w:rFonts w:eastAsia="Calibri" w:cstheme="minorBidi"/>
          <w:kern w:val="24"/>
          <w:sz w:val="28"/>
          <w:szCs w:val="28"/>
          <w:lang w:eastAsia="en-US"/>
        </w:rPr>
        <w:t>Приложения № 2 и № 4 к Приказу признать утратившими силу.</w:t>
      </w:r>
    </w:p>
    <w:p w:rsidR="0039674E" w:rsidRPr="00305943" w:rsidRDefault="00EE5A02" w:rsidP="00E51034">
      <w:pPr>
        <w:pStyle w:val="a6"/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 w:cstheme="minorBidi"/>
          <w:kern w:val="24"/>
          <w:sz w:val="28"/>
          <w:szCs w:val="28"/>
          <w:lang w:eastAsia="en-US"/>
        </w:rPr>
      </w:pPr>
      <w:r>
        <w:rPr>
          <w:rFonts w:eastAsia="Calibri" w:cstheme="minorBidi"/>
          <w:kern w:val="24"/>
          <w:sz w:val="28"/>
          <w:szCs w:val="28"/>
          <w:lang w:eastAsia="en-US"/>
        </w:rPr>
        <w:t>Дополнить Приказ п</w:t>
      </w:r>
      <w:r w:rsidR="0039674E" w:rsidRPr="00305943">
        <w:rPr>
          <w:rFonts w:eastAsia="Calibri" w:cstheme="minorBidi"/>
          <w:kern w:val="24"/>
          <w:sz w:val="28"/>
          <w:szCs w:val="28"/>
          <w:lang w:eastAsia="en-US"/>
        </w:rPr>
        <w:t>риложения</w:t>
      </w:r>
      <w:r>
        <w:rPr>
          <w:rFonts w:eastAsia="Calibri" w:cstheme="minorBidi"/>
          <w:kern w:val="24"/>
          <w:sz w:val="28"/>
          <w:szCs w:val="28"/>
          <w:lang w:eastAsia="en-US"/>
        </w:rPr>
        <w:t>ми № 7 и № 8</w:t>
      </w:r>
      <w:r w:rsidR="00760ADE" w:rsidRPr="00305943">
        <w:rPr>
          <w:rFonts w:eastAsia="Calibri" w:cstheme="minorBidi"/>
          <w:kern w:val="24"/>
          <w:sz w:val="28"/>
          <w:szCs w:val="28"/>
          <w:lang w:eastAsia="en-US"/>
        </w:rPr>
        <w:t xml:space="preserve"> </w:t>
      </w:r>
      <w:r w:rsidR="0039674E" w:rsidRPr="00305943">
        <w:rPr>
          <w:rFonts w:eastAsia="Calibri" w:cstheme="minorBidi"/>
          <w:kern w:val="24"/>
          <w:sz w:val="28"/>
          <w:szCs w:val="28"/>
          <w:lang w:eastAsia="en-US"/>
        </w:rPr>
        <w:t>согласно приложениям № 1 и № 2 к настоящему приказу.</w:t>
      </w:r>
    </w:p>
    <w:p w:rsidR="00E5148C" w:rsidRPr="009012FA" w:rsidRDefault="00D60CBE" w:rsidP="00E5148C">
      <w:pPr>
        <w:pStyle w:val="a6"/>
        <w:spacing w:line="360" w:lineRule="auto"/>
        <w:ind w:left="-142" w:firstLine="851"/>
        <w:jc w:val="both"/>
        <w:rPr>
          <w:sz w:val="28"/>
          <w:szCs w:val="28"/>
        </w:rPr>
      </w:pPr>
      <w:bookmarkStart w:id="0" w:name="_GoBack"/>
      <w:r>
        <w:rPr>
          <w:noProof/>
          <w:sz w:val="28"/>
          <w:szCs w:val="28"/>
        </w:rPr>
        <w:drawing>
          <wp:anchor distT="0" distB="0" distL="114300" distR="114300" simplePos="0" relativeHeight="251658240" behindDoc="0" locked="0" layoutInCell="0" allowOverlap="1" wp14:anchorId="037001EA" wp14:editId="7B0610FF">
            <wp:simplePos x="0" y="0"/>
            <wp:positionH relativeFrom="page">
              <wp:posOffset>2672080</wp:posOffset>
            </wp:positionH>
            <wp:positionV relativeFrom="page">
              <wp:posOffset>9067800</wp:posOffset>
            </wp:positionV>
            <wp:extent cx="2695575" cy="1162050"/>
            <wp:effectExtent l="0" t="0" r="9525" b="0"/>
            <wp:wrapNone/>
            <wp:docPr id="2" name="#L@nDocs$t@mp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95575" cy="1162050"/>
                    </a:xfrm>
                    <a:prstGeom prst="rect">
                      <a:avLst/>
                    </a:prstGeom>
                    <a:solidFill>
                      <a:scrgbClr r="0" g="0" b="0">
                        <a:alpha val="0"/>
                      </a:scrgbClr>
                    </a:solidFill>
                  </pic:spPr>
                </pic:pic>
              </a:graphicData>
            </a:graphic>
          </wp:anchor>
        </w:drawing>
      </w:r>
      <w:bookmarkEnd w:id="0"/>
    </w:p>
    <w:p w:rsidR="00606C8E" w:rsidRDefault="00594644" w:rsidP="00955789">
      <w:pPr>
        <w:spacing w:line="360" w:lineRule="auto"/>
        <w:ind w:right="-143"/>
      </w:pPr>
      <w:r w:rsidRPr="00F80E97">
        <w:rPr>
          <w:sz w:val="28"/>
          <w:szCs w:val="28"/>
        </w:rPr>
        <w:t>Руководитель</w:t>
      </w:r>
      <w:r w:rsidR="00955789">
        <w:rPr>
          <w:sz w:val="28"/>
          <w:szCs w:val="28"/>
        </w:rPr>
        <w:tab/>
      </w:r>
      <w:r w:rsidR="00955789">
        <w:rPr>
          <w:sz w:val="28"/>
          <w:szCs w:val="28"/>
        </w:rPr>
        <w:tab/>
      </w:r>
      <w:r w:rsidR="00955789">
        <w:rPr>
          <w:sz w:val="28"/>
          <w:szCs w:val="28"/>
        </w:rPr>
        <w:tab/>
      </w:r>
      <w:r w:rsidR="00955789">
        <w:rPr>
          <w:sz w:val="28"/>
          <w:szCs w:val="28"/>
        </w:rPr>
        <w:tab/>
      </w:r>
      <w:r w:rsidR="00955789">
        <w:rPr>
          <w:sz w:val="28"/>
          <w:szCs w:val="28"/>
        </w:rPr>
        <w:tab/>
      </w:r>
      <w:r w:rsidR="00955789">
        <w:rPr>
          <w:sz w:val="28"/>
          <w:szCs w:val="28"/>
        </w:rPr>
        <w:tab/>
      </w:r>
      <w:r w:rsidR="00955789">
        <w:rPr>
          <w:sz w:val="28"/>
          <w:szCs w:val="28"/>
        </w:rPr>
        <w:tab/>
      </w:r>
      <w:r w:rsidR="00955789">
        <w:rPr>
          <w:sz w:val="28"/>
          <w:szCs w:val="28"/>
        </w:rPr>
        <w:tab/>
        <w:t xml:space="preserve">     </w:t>
      </w:r>
      <w:r w:rsidR="00CC3E9A">
        <w:rPr>
          <w:sz w:val="28"/>
          <w:szCs w:val="28"/>
        </w:rPr>
        <w:t xml:space="preserve">Р.Е. </w:t>
      </w:r>
      <w:proofErr w:type="spellStart"/>
      <w:r w:rsidR="00CC3E9A">
        <w:rPr>
          <w:sz w:val="28"/>
          <w:szCs w:val="28"/>
        </w:rPr>
        <w:t>Артюхин</w:t>
      </w:r>
      <w:proofErr w:type="spellEnd"/>
    </w:p>
    <w:sectPr w:rsidR="00606C8E" w:rsidSect="00CC3E9A">
      <w:headerReference w:type="even" r:id="rId17"/>
      <w:headerReference w:type="default" r:id="rId18"/>
      <w:pgSz w:w="11906" w:h="16838"/>
      <w:pgMar w:top="425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4F9E" w:rsidRDefault="00A14F9E">
      <w:r>
        <w:separator/>
      </w:r>
    </w:p>
  </w:endnote>
  <w:endnote w:type="continuationSeparator" w:id="0">
    <w:p w:rsidR="00A14F9E" w:rsidRDefault="00A14F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4F9E" w:rsidRDefault="00A14F9E">
      <w:r>
        <w:separator/>
      </w:r>
    </w:p>
  </w:footnote>
  <w:footnote w:type="continuationSeparator" w:id="0">
    <w:p w:rsidR="00A14F9E" w:rsidRDefault="00A14F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018F" w:rsidRDefault="00602616" w:rsidP="00232A0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:rsidR="006D018F" w:rsidRDefault="00A14F9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45324858"/>
      <w:docPartObj>
        <w:docPartGallery w:val="Page Numbers (Top of Page)"/>
        <w:docPartUnique/>
      </w:docPartObj>
    </w:sdtPr>
    <w:sdtEndPr/>
    <w:sdtContent>
      <w:p w:rsidR="00F46012" w:rsidRDefault="00F4601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60CBE">
          <w:rPr>
            <w:noProof/>
          </w:rPr>
          <w:t>2</w:t>
        </w:r>
        <w:r>
          <w:fldChar w:fldCharType="end"/>
        </w:r>
      </w:p>
    </w:sdtContent>
  </w:sdt>
  <w:p w:rsidR="006D018F" w:rsidRDefault="00A14F9E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A36C6E"/>
    <w:multiLevelType w:val="multilevel"/>
    <w:tmpl w:val="43C41BBA"/>
    <w:lvl w:ilvl="0">
      <w:start w:val="1"/>
      <w:numFmt w:val="decimal"/>
      <w:lvlText w:val="%1."/>
      <w:lvlJc w:val="left"/>
      <w:pPr>
        <w:ind w:left="283" w:firstLine="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549B7AC2"/>
    <w:multiLevelType w:val="hybridMultilevel"/>
    <w:tmpl w:val="3648D27C"/>
    <w:lvl w:ilvl="0" w:tplc="1F6CE7B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60EA405B"/>
    <w:multiLevelType w:val="multilevel"/>
    <w:tmpl w:val="4232D79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</w:rPr>
    </w:lvl>
  </w:abstractNum>
  <w:abstractNum w:abstractNumId="3">
    <w:nsid w:val="693D1C5B"/>
    <w:multiLevelType w:val="multilevel"/>
    <w:tmpl w:val="43C41BBA"/>
    <w:lvl w:ilvl="0">
      <w:start w:val="1"/>
      <w:numFmt w:val="decimal"/>
      <w:lvlText w:val="%1."/>
      <w:lvlJc w:val="left"/>
      <w:pPr>
        <w:ind w:left="567" w:firstLine="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4">
    <w:nsid w:val="6CC2186F"/>
    <w:multiLevelType w:val="hybridMultilevel"/>
    <w:tmpl w:val="FA68EAE0"/>
    <w:lvl w:ilvl="0" w:tplc="36781B4E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DD93F54"/>
    <w:multiLevelType w:val="hybridMultilevel"/>
    <w:tmpl w:val="FA68EAE0"/>
    <w:lvl w:ilvl="0" w:tplc="36781B4E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6597"/>
    <w:rsid w:val="00047D7E"/>
    <w:rsid w:val="0006283C"/>
    <w:rsid w:val="00064F03"/>
    <w:rsid w:val="00076208"/>
    <w:rsid w:val="0008505C"/>
    <w:rsid w:val="00096BD0"/>
    <w:rsid w:val="000C5601"/>
    <w:rsid w:val="000D7DB3"/>
    <w:rsid w:val="001165FA"/>
    <w:rsid w:val="00123111"/>
    <w:rsid w:val="00123290"/>
    <w:rsid w:val="00151174"/>
    <w:rsid w:val="001660C6"/>
    <w:rsid w:val="00172B96"/>
    <w:rsid w:val="001769DB"/>
    <w:rsid w:val="00177E7C"/>
    <w:rsid w:val="00191EB0"/>
    <w:rsid w:val="001C5D24"/>
    <w:rsid w:val="001D3046"/>
    <w:rsid w:val="001E7C60"/>
    <w:rsid w:val="001F118A"/>
    <w:rsid w:val="0022082B"/>
    <w:rsid w:val="00243882"/>
    <w:rsid w:val="00245A14"/>
    <w:rsid w:val="00246375"/>
    <w:rsid w:val="002A48BA"/>
    <w:rsid w:val="002C0811"/>
    <w:rsid w:val="00305943"/>
    <w:rsid w:val="00316028"/>
    <w:rsid w:val="00367B4C"/>
    <w:rsid w:val="0039674E"/>
    <w:rsid w:val="003A1B5D"/>
    <w:rsid w:val="003C365D"/>
    <w:rsid w:val="003D1ECB"/>
    <w:rsid w:val="003D53B9"/>
    <w:rsid w:val="003F073B"/>
    <w:rsid w:val="003F4705"/>
    <w:rsid w:val="00401861"/>
    <w:rsid w:val="004032FC"/>
    <w:rsid w:val="0041374B"/>
    <w:rsid w:val="0041667F"/>
    <w:rsid w:val="0042173F"/>
    <w:rsid w:val="0042268C"/>
    <w:rsid w:val="00447D65"/>
    <w:rsid w:val="0045779E"/>
    <w:rsid w:val="00475ED5"/>
    <w:rsid w:val="00477805"/>
    <w:rsid w:val="004A3BA3"/>
    <w:rsid w:val="004C3177"/>
    <w:rsid w:val="004C797A"/>
    <w:rsid w:val="004E32D9"/>
    <w:rsid w:val="005606A6"/>
    <w:rsid w:val="00561E58"/>
    <w:rsid w:val="00566691"/>
    <w:rsid w:val="005859FB"/>
    <w:rsid w:val="00594644"/>
    <w:rsid w:val="00602616"/>
    <w:rsid w:val="00603F44"/>
    <w:rsid w:val="00606C8E"/>
    <w:rsid w:val="0067021B"/>
    <w:rsid w:val="00682E0F"/>
    <w:rsid w:val="00683C8E"/>
    <w:rsid w:val="006A121D"/>
    <w:rsid w:val="006B07BA"/>
    <w:rsid w:val="006B48C4"/>
    <w:rsid w:val="006E05F9"/>
    <w:rsid w:val="007121B2"/>
    <w:rsid w:val="00722339"/>
    <w:rsid w:val="00727CE5"/>
    <w:rsid w:val="00751659"/>
    <w:rsid w:val="00756456"/>
    <w:rsid w:val="00757051"/>
    <w:rsid w:val="00760ADE"/>
    <w:rsid w:val="00777501"/>
    <w:rsid w:val="007A5CB3"/>
    <w:rsid w:val="007C0813"/>
    <w:rsid w:val="007F51BF"/>
    <w:rsid w:val="008420A0"/>
    <w:rsid w:val="00860480"/>
    <w:rsid w:val="00893280"/>
    <w:rsid w:val="00894092"/>
    <w:rsid w:val="008D6E88"/>
    <w:rsid w:val="008E6CC6"/>
    <w:rsid w:val="008F00EA"/>
    <w:rsid w:val="00901532"/>
    <w:rsid w:val="009319CF"/>
    <w:rsid w:val="0095156F"/>
    <w:rsid w:val="00955789"/>
    <w:rsid w:val="00960BBF"/>
    <w:rsid w:val="009B5B11"/>
    <w:rsid w:val="009D1FE7"/>
    <w:rsid w:val="009E18AD"/>
    <w:rsid w:val="009F2A2C"/>
    <w:rsid w:val="00A14F9E"/>
    <w:rsid w:val="00A15EAF"/>
    <w:rsid w:val="00A22C31"/>
    <w:rsid w:val="00A31ED9"/>
    <w:rsid w:val="00A33C83"/>
    <w:rsid w:val="00A43771"/>
    <w:rsid w:val="00A82013"/>
    <w:rsid w:val="00A84ED9"/>
    <w:rsid w:val="00AC0A2C"/>
    <w:rsid w:val="00AC7EBC"/>
    <w:rsid w:val="00AF033E"/>
    <w:rsid w:val="00AF29D5"/>
    <w:rsid w:val="00B26597"/>
    <w:rsid w:val="00B2790E"/>
    <w:rsid w:val="00B44C7F"/>
    <w:rsid w:val="00B640BF"/>
    <w:rsid w:val="00B836FF"/>
    <w:rsid w:val="00BA5EFA"/>
    <w:rsid w:val="00BB5CB3"/>
    <w:rsid w:val="00BB6DE6"/>
    <w:rsid w:val="00BB7FC0"/>
    <w:rsid w:val="00C07325"/>
    <w:rsid w:val="00C148AD"/>
    <w:rsid w:val="00C36438"/>
    <w:rsid w:val="00C849DA"/>
    <w:rsid w:val="00C939C2"/>
    <w:rsid w:val="00C94C52"/>
    <w:rsid w:val="00CA36B4"/>
    <w:rsid w:val="00CA6098"/>
    <w:rsid w:val="00CA6480"/>
    <w:rsid w:val="00CC3E9A"/>
    <w:rsid w:val="00D07516"/>
    <w:rsid w:val="00D60CBE"/>
    <w:rsid w:val="00D66547"/>
    <w:rsid w:val="00DB162D"/>
    <w:rsid w:val="00DC7560"/>
    <w:rsid w:val="00DD45B7"/>
    <w:rsid w:val="00E3114C"/>
    <w:rsid w:val="00E51034"/>
    <w:rsid w:val="00E5148C"/>
    <w:rsid w:val="00E543ED"/>
    <w:rsid w:val="00E54512"/>
    <w:rsid w:val="00E843AA"/>
    <w:rsid w:val="00E857D1"/>
    <w:rsid w:val="00EA78C0"/>
    <w:rsid w:val="00EC0331"/>
    <w:rsid w:val="00EC48B5"/>
    <w:rsid w:val="00EC6458"/>
    <w:rsid w:val="00EE5A02"/>
    <w:rsid w:val="00EF68F3"/>
    <w:rsid w:val="00EF6C9A"/>
    <w:rsid w:val="00F46012"/>
    <w:rsid w:val="00F52458"/>
    <w:rsid w:val="00F66DD5"/>
    <w:rsid w:val="00F75277"/>
    <w:rsid w:val="00FC12BD"/>
    <w:rsid w:val="00FD15C2"/>
    <w:rsid w:val="00FF7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6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9464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9464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594644"/>
  </w:style>
  <w:style w:type="paragraph" w:customStyle="1" w:styleId="ConsPlusNormal">
    <w:name w:val="ConsPlusNormal"/>
    <w:rsid w:val="0059464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B640BF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B640BF"/>
    <w:rPr>
      <w:color w:val="0000FF" w:themeColor="hyperlink"/>
      <w:u w:val="single"/>
    </w:rPr>
  </w:style>
  <w:style w:type="paragraph" w:styleId="a8">
    <w:name w:val="footer"/>
    <w:basedOn w:val="a"/>
    <w:link w:val="a9"/>
    <w:uiPriority w:val="99"/>
    <w:unhideWhenUsed/>
    <w:rsid w:val="0072233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223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A4377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43771"/>
    <w:rPr>
      <w:rFonts w:ascii="Tahoma" w:eastAsia="Times New Roman" w:hAnsi="Tahoma" w:cs="Tahoma"/>
      <w:sz w:val="16"/>
      <w:szCs w:val="16"/>
      <w:lang w:eastAsia="ru-RU"/>
    </w:rPr>
  </w:style>
  <w:style w:type="table" w:styleId="ac">
    <w:name w:val="Table Grid"/>
    <w:basedOn w:val="a1"/>
    <w:uiPriority w:val="59"/>
    <w:rsid w:val="007F51BF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annotation reference"/>
    <w:basedOn w:val="a0"/>
    <w:uiPriority w:val="99"/>
    <w:semiHidden/>
    <w:unhideWhenUsed/>
    <w:rsid w:val="009E18AD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9E18AD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9E18A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9E18AD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9E18A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2">
    <w:name w:val="Revision"/>
    <w:hidden/>
    <w:uiPriority w:val="99"/>
    <w:semiHidden/>
    <w:rsid w:val="004217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6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9464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9464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594644"/>
  </w:style>
  <w:style w:type="paragraph" w:customStyle="1" w:styleId="ConsPlusNormal">
    <w:name w:val="ConsPlusNormal"/>
    <w:rsid w:val="0059464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B640BF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B640BF"/>
    <w:rPr>
      <w:color w:val="0000FF" w:themeColor="hyperlink"/>
      <w:u w:val="single"/>
    </w:rPr>
  </w:style>
  <w:style w:type="paragraph" w:styleId="a8">
    <w:name w:val="footer"/>
    <w:basedOn w:val="a"/>
    <w:link w:val="a9"/>
    <w:uiPriority w:val="99"/>
    <w:unhideWhenUsed/>
    <w:rsid w:val="0072233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223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A4377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43771"/>
    <w:rPr>
      <w:rFonts w:ascii="Tahoma" w:eastAsia="Times New Roman" w:hAnsi="Tahoma" w:cs="Tahoma"/>
      <w:sz w:val="16"/>
      <w:szCs w:val="16"/>
      <w:lang w:eastAsia="ru-RU"/>
    </w:rPr>
  </w:style>
  <w:style w:type="table" w:styleId="ac">
    <w:name w:val="Table Grid"/>
    <w:basedOn w:val="a1"/>
    <w:uiPriority w:val="59"/>
    <w:rsid w:val="007F51BF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annotation reference"/>
    <w:basedOn w:val="a0"/>
    <w:uiPriority w:val="99"/>
    <w:semiHidden/>
    <w:unhideWhenUsed/>
    <w:rsid w:val="009E18AD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9E18AD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9E18A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9E18AD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9E18A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2">
    <w:name w:val="Revision"/>
    <w:hidden/>
    <w:uiPriority w:val="99"/>
    <w:semiHidden/>
    <w:rsid w:val="004217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DD598134E7D238C7B00A16D6502E59F9C1DB411D6A87DF76F739BA4C3321E513B0DAD9D361F50327E989D4EC4537FE66E55366C46F3AD361G8H0O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DD598134E7D238C7B00A16D6502E59F9C1DB411D6A87DF76F739BA4C3321E513B0DAD9D361F40B2EEB89D4EC4537FE66E55366C46F3AD361G8H0O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2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19E3FD4B6A103AE9228855E3B1EE84DB85658E2A4959B8BE6981A0951B65FE08726CE9DA18BB60E7276C02FF0F974D3FD5159329DBD253ABSAE1O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B9347B15031467524078EAEE9D6231C497D3E4CF56501629FF72DB9CB7B0872F673149B15FB14D3C83C3B0DD0BDBC6A40BD5209E726D88DDS67FK" TargetMode="External"/><Relationship Id="rId10" Type="http://schemas.openxmlformats.org/officeDocument/2006/relationships/hyperlink" Target="consultantplus://offline/ref=19E3FD4B6A103AE9228855E3B1EE84DB85658E2A4959B8BE6981A0951B65FE08726CE9DA18BB64E0246C02FF0F974D3FD5159329DBD253ABSAE1O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hyperlink" Target="consultantplus://offline/ref=B9347B15031467524078EAEE9D6231C497D3E4CF56501629FF72DB9CB7B0872F673149B15FB04A3D83C3B0DD0BDBC6A40BD5209E726D88DDS67F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7DEEB4-4264-4AEE-AC8A-7B03F541C5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321</TotalTime>
  <Pages>2</Pages>
  <Words>546</Words>
  <Characters>3118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ФК</Company>
  <LinksUpToDate>false</LinksUpToDate>
  <CharactersWithSpaces>3657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Калинкина Дарья Юрьевна</dc:creator>
  <cp:lastModifiedBy>Павлова Елена Владимировна</cp:lastModifiedBy>
  <cp:revision>29</cp:revision>
  <cp:lastPrinted>2018-03-07T11:56:00Z</cp:lastPrinted>
  <dcterms:created xsi:type="dcterms:W3CDTF">2020-11-10T06:10:00Z</dcterms:created>
  <dcterms:modified xsi:type="dcterms:W3CDTF">2021-01-12T13:47:00Z</dcterms:modified>
</cp:coreProperties>
</file>